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320</w:t>
      </w:r>
    </w:p>
    <w:p>
      <w:r>
        <w:t>Bundesgericht (BGE), 1990-04-24, DE</w:t>
      </w:r>
    </w:p>
    <w:p>
      <w:r>
        <w:rPr>
          <w:b/>
        </w:rPr>
        <w:t xml:space="preserve">Quelle: </w:t>
      </w:r>
      <w:r>
        <w:t>https://mcp.opencaselaw.ch/entscheid/bge_116 II 320</w:t>
      </w:r>
    </w:p>
    <w:p>
      <w:r>
        <w:t>FR: ATF 116 II 320</w:t>
      </w:r>
    </w:p>
    <w:p>
      <w:r>
        <w:t>IT: DTF 116 II 320</w:t>
      </w:r>
    </w:p>
    <w:p>
      <w:pPr>
        <w:pStyle w:val="Heading2"/>
      </w:pPr>
      <w:r>
        <w:t>Regeste</w:t>
      </w:r>
    </w:p>
    <w:p>
      <w:r>
        <w:t>Regeste Art. 718 Abs. 1 OR. Vertretungsmacht des Verwaltungsrates einer überschuldeten Aktiengesellschaft. Die in Art. 718 Abs. 1 OR vorgesehene Beschränkung der Vertretungsmacht kann nicht mehr ausschliesslich massgebend sein, wenn der Gesellschaftszweck zufolge Konkursreife der Gesellschaft ohnehin nicht mehr zu erreichen ist. Sind einschneidende Massnahmen zur Erhaltung des Betriebes dringend geboten, verunmöglichen aber besondere Umstände eine rechtzeitige Beschlussfassung durch die Generalversammlung, so rechtfertigt es sich ausnahmsweise, dem Verwaltungsrat den nötigen Handlungsspielraum zuzugestehen und seine Vertretungsmacht entsprechend zu erweitern (E. 3).</w:t>
      </w:r>
    </w:p>
    <w:p>
      <w:pPr>
        <w:pStyle w:val="Heading2"/>
      </w:pPr>
      <w:r>
        <w:t>Erwägungen</w:t>
      </w:r>
    </w:p>
    <w:p>
      <w:r>
        <w:rPr>
          <w:b/>
        </w:rPr>
        <w:t>E. 3</w:t>
      </w:r>
    </w:p>
    <w:p>
      <w:r>
        <w:t>Nach Art. 718 Abs. 1 OR sind die zur Vertretung befugten Personen ermächtigt, im Namen der Aktiengesellschaft alle Rechtshandlungen vorzunehmen, die der Gesellschaftszweck mit sich bringen kann. Der Appellationshof hält im angefochtenen Urteil fest, die Veräusserung sämtlicher Aktiven des Unternehmens durch den Verwaltungsrat liege zwar nicht mehr im Rahmen des Gesellschaftszwecks; aufgrund der besonderen Umstände des vorliegenden Falles sei das Vorgehen des Verwaltungsrates der Kammgarnspinnerei Interlaken AG aber dennoch gerechtfertigt gewesen. Nach Ansicht der Klägerin verstösst diese Auffassung gegen Bundesrecht. BGE 116 II 320 S. 323 a) Die Vorschrift von Art. 718 Abs. 1 OR wird in Lehre und Rechtsprechung weit ausgelegt. Unter Rechtshandlungen, die der Gesellschaftszweck mit sich bringen kann, sind nicht bloss solche zu verstehen, die der Gesellschaft nützlich sind oder in ihrem Betrieb gewöhnlich vorkommen; erfasst sind vielmehr ebenfalls ungewöhnliche Geschäfte, sofern sie auch nur möglicherweise im Gesellschaftszweck begründet sind, d.h. durch diesen zumindest nicht geradezu ausgeschlossen werden ( BGE 111 II 288 f.; BGE 96 II 444 f., je mit Hinweisen; BÜRGI, Zürcher Kommentar, N. 3 zu Art. 718 OR ; MEIER-HAYOZ/FORSTMOSER, Grundriss des schweizerischen Gesellschaftsrechts, 6. Aufl. 1989, S. 288 f.; VON GREYERZ, SPR VIII/2, S. 210). Die Veräusserung des gesamten Betriebes mit allen Aktiven der Gesellschaft liegt indessen nach der bundesgerichtlichen Rechtsprechung grundsätzlich auch nicht mehr innerhalb dieses weit umschriebenen Rahmens durch den Gesellschaftszweck gedeckter Rechtshandlungen (unveröffentlichtes Urteil vom 7. April 1989 i.S. C.); dem Verwaltungsrat ist es grundsätzlich verwehrt, in eigener Kompetenz das ganze Unternehmen zu veräussern. Besondere Umstände können jedoch eine andere Betrachtungsweise rechtfertigen. Die Beschränkung der Vertretungsmacht auf Rechtshandlungen, die der Verfolgung des Gesellschaftszwecks dienen können, kann dann nicht mehr massgebend sein, wenn dieser zufolge Konkursreife der Gesellschaft ohnehin nicht mehr zu erreichen ist. Diesfalls muss es zulässig sein, die Vertretungsmacht an anderen Kriterien zu orientieren, insbesondere an den Interessen der Beschäftigten und der übrigen Gläubiger sowie am Allgemeinwohl (vgl. THALMANN, Die Treuepflicht der Verwaltung der Aktiengesellschaft, Diss. Bern 1975, S. 31 ff.). Ist die Aufgabe des ursprünglichen Unternehmenszwecks zufolge Überschuldung der Gesellschaft unausweichlich, so haben deren Organe das Recht und - zumindest moralisch - auch die Pflicht, in anderer Hinsicht drohenden Schaden soweit möglich zu verhindern oder zu begrenzen; es gilt, für die Betroffenen zu retten, was noch zu retten ist. Dazu können insbesondere auch geeignete Massnahmen zur Erhaltung des Betriebes dienen. Angesichts der kurzen gesetzlichen Einberufungsfrist ( Art. 700 Abs. 1 OR ) wird es im Regelfall allerdings auch hier möglich sein, die nötigen Beschlüsse durch eine Generalversammlung fassen zu lassen. Soweit das der Fall ist, ist - insbesondere bei Beschlüssen mit erheblicher Tragweite - dieser Weg zu wählen. Eine BGE 116 II 320 S. 324 Erweiterung der in Art. 718 Abs. 1 OR vorgesehenen Vertretungsmacht des Verwaltungsrates kann sich nur rechtfertigen, wenn einerseits unverzügliches Handeln dringend geboten ist, anderseits aber besondere Umstände eine rechtzeitige Beschlussfassung durch die Generalversammlung als grundsätzlich zuständiges Organ verunmöglichen. b) Der Appellationshof hat in tatsächlicher Hinsicht festgestellt, die Kammgarnspinnerei Interlaken AG sei im August 1983 massiv überschuldet gewesen. An diese Feststellung, die die Klägerin in ihrer staatsrechtlichen Beschwerde erfolglos angefochten hat, ist das Bundesgericht im Berufungsverfahren gebunden ( Art. 63 Abs. 2 OG ). Ist somit davon auszugehen, dass die Gesellschaft im massgeblichen Zeitpunkt konkursreif war, so kann nach dem Gesagten für die Vertretungsmacht ihrer Organe der - ohnehin nicht mehr zu erreichende - Gesellschaftszweck nicht mehr das entscheidende Kriterium sein. Aus den Feststellungen im angefochtenen Urteil geht überdies hervor, dass die Höhe der Überschuldung ein weiteres Zuwarten nicht mehr zuliess, zumal die Gebrüder Steger, die bereit waren, den Betrieb fortzuführen, ihr Übernahmeinteresse bis Ende August 1983 limitiert hatten; an einer solchen Fortführung aber bestand auf seiten der Arbeitnehmerschaft und der Öffentlichkeit unbestrittenermassen ein gewichtiges Interesse. Gleichzeitig war die Zuständigkeit an der Hälfte der Aktien und damit die entsprechende Stimmberechtigung streitig und Gegenstand einer gerichtlichen Auseinandersetzung; bei Stimmberechtigung der Klägerin wären sich zudem zwei Inhaber von je 50% der Aktien gegenübergestanden, so dass angesichts dieser Pattsituation das Zustandekommen eines Mehrheitsbeschlusses an einer Generalversammlung ohnehin nicht hätte erwartet werden können. Unter diesen Umständen erscheint es durchaus sachgerecht, dass der Appellationshof dem Verwaltungsrat den gebotenen Handlungsspielraum zugestanden hat. Die Rüge einer Verletzung von Bundesrecht ist unbegründet. c) Daran vermögen auch Art. 725 Abs. 2-4 OR nichts zu ändern; die Berufung der Klägerin auf diese Vorschriften geht fehl. Die dort vorgesehene Pflicht des Verwaltungsrates, bei Überschuldung der Gesellschaft den Richter zu benachrichtigen, dient dem Schutz der Interessen der Gläubiger (BÜRGI, a.a.O., N. 2 zu Art. 725 OR ); kommt der Verwaltungsrat seiner Anzeigepflicht nicht oder nur verspätet nach, haftet er deshalb den Gläubigern für allfälligen dadurch verursachten Schaden ( Art. 754 Abs. 1 OR ; BGE 116 II 320 S. 325 BÜRGI, a.a.O., N. 11 zu Art. 725 OR ). Eine Grundlage für Ansprüche eines Aktionärs gegen die Gesellschaft oder gegen Dritte vermögen Art. 725 Abs. 2-4 OR hingegen nicht abzugeben.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